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2F4BF" w14:textId="70CD26FC" w:rsidR="009D1AB5" w:rsidRPr="000B5FC7" w:rsidRDefault="000B5FC7">
      <w:pPr>
        <w:rPr>
          <w:rFonts w:ascii="Arial" w:hAnsi="Arial" w:cs="Arial"/>
          <w:b/>
          <w:bCs/>
          <w:sz w:val="28"/>
          <w:szCs w:val="28"/>
          <w:u w:val="single"/>
        </w:rPr>
      </w:pPr>
      <w:r w:rsidRPr="000B5FC7">
        <w:rPr>
          <w:rFonts w:ascii="Arial" w:hAnsi="Arial" w:cs="Arial"/>
          <w:b/>
          <w:bCs/>
          <w:sz w:val="28"/>
          <w:szCs w:val="28"/>
          <w:u w:val="single"/>
        </w:rPr>
        <w:t>REMOVAL OF WRECKS &amp; ABANDONED VESSELS</w:t>
      </w:r>
    </w:p>
    <w:p w14:paraId="0749242E" w14:textId="77777777" w:rsidR="000B5FC7" w:rsidRDefault="000B5FC7">
      <w:pPr>
        <w:rPr>
          <w:rFonts w:ascii="Arial" w:hAnsi="Arial" w:cs="Arial"/>
          <w:sz w:val="24"/>
        </w:rPr>
      </w:pPr>
    </w:p>
    <w:p w14:paraId="6D95812D" w14:textId="4481360C" w:rsidR="000B5FC7" w:rsidRDefault="000B5FC7">
      <w:pPr>
        <w:rPr>
          <w:rFonts w:ascii="Arial" w:hAnsi="Arial" w:cs="Arial"/>
          <w:sz w:val="24"/>
        </w:rPr>
      </w:pPr>
      <w:r>
        <w:rPr>
          <w:rFonts w:ascii="Arial" w:hAnsi="Arial" w:cs="Arial"/>
          <w:sz w:val="24"/>
        </w:rPr>
        <w:t>Lynmouth Harbour is not a Statutory Authority however, it can rely on the below to address issues caused by wrecks or abandoned vessels in its domain.</w:t>
      </w:r>
    </w:p>
    <w:p w14:paraId="0772155F" w14:textId="77777777" w:rsidR="000B5FC7" w:rsidRDefault="000B5FC7">
      <w:pPr>
        <w:rPr>
          <w:rFonts w:ascii="Arial" w:hAnsi="Arial" w:cs="Arial"/>
          <w:sz w:val="24"/>
        </w:rPr>
      </w:pPr>
    </w:p>
    <w:p w14:paraId="67333935" w14:textId="74EE1BD1" w:rsidR="000B5FC7" w:rsidRDefault="000B5FC7" w:rsidP="000B5FC7">
      <w:pPr>
        <w:rPr>
          <w:rFonts w:ascii="Arial" w:hAnsi="Arial" w:cs="Arial"/>
          <w:b/>
          <w:bCs/>
          <w:sz w:val="24"/>
        </w:rPr>
      </w:pPr>
      <w:r w:rsidRPr="000B5FC7">
        <w:rPr>
          <w:rFonts w:ascii="Arial" w:hAnsi="Arial" w:cs="Arial"/>
          <w:b/>
          <w:bCs/>
          <w:sz w:val="24"/>
        </w:rPr>
        <w:t>Wreck Removal Powers for Non-Statutory Authorities</w:t>
      </w:r>
      <w:r>
        <w:rPr>
          <w:rFonts w:ascii="Arial" w:hAnsi="Arial" w:cs="Arial"/>
          <w:b/>
          <w:bCs/>
          <w:sz w:val="24"/>
        </w:rPr>
        <w:t xml:space="preserve"> (NSHA)</w:t>
      </w:r>
      <w:r w:rsidRPr="000B5FC7">
        <w:rPr>
          <w:rFonts w:ascii="Arial" w:hAnsi="Arial" w:cs="Arial"/>
          <w:b/>
          <w:bCs/>
          <w:sz w:val="24"/>
        </w:rPr>
        <w:t>:</w:t>
      </w:r>
    </w:p>
    <w:p w14:paraId="59E6AE80" w14:textId="77777777" w:rsidR="000B5FC7" w:rsidRPr="000B5FC7" w:rsidRDefault="000B5FC7" w:rsidP="000B5FC7">
      <w:pPr>
        <w:rPr>
          <w:rFonts w:ascii="Arial" w:hAnsi="Arial" w:cs="Arial"/>
          <w:sz w:val="24"/>
        </w:rPr>
      </w:pPr>
    </w:p>
    <w:p w14:paraId="118AAAAA" w14:textId="77777777" w:rsidR="000B5FC7" w:rsidRDefault="000B5FC7" w:rsidP="000B5FC7">
      <w:pPr>
        <w:numPr>
          <w:ilvl w:val="0"/>
          <w:numId w:val="1"/>
        </w:numPr>
        <w:rPr>
          <w:rFonts w:ascii="Arial" w:hAnsi="Arial" w:cs="Arial"/>
          <w:sz w:val="24"/>
        </w:rPr>
      </w:pPr>
      <w:r w:rsidRPr="000B5FC7">
        <w:rPr>
          <w:rFonts w:ascii="Arial" w:hAnsi="Arial" w:cs="Arial"/>
          <w:b/>
          <w:bCs/>
          <w:sz w:val="24"/>
        </w:rPr>
        <w:t>General Lighthouse Authority (GLA) Intervention:</w:t>
      </w:r>
      <w:r w:rsidRPr="000B5FC7">
        <w:rPr>
          <w:rFonts w:ascii="Arial" w:hAnsi="Arial" w:cs="Arial"/>
          <w:sz w:val="24"/>
        </w:rPr>
        <w:t> </w:t>
      </w:r>
    </w:p>
    <w:p w14:paraId="3326868A" w14:textId="5DD6E8A4" w:rsidR="000B5FC7" w:rsidRDefault="000B5FC7" w:rsidP="000B5FC7">
      <w:pPr>
        <w:ind w:left="720"/>
        <w:rPr>
          <w:rFonts w:ascii="Arial" w:hAnsi="Arial" w:cs="Arial"/>
          <w:sz w:val="24"/>
        </w:rPr>
      </w:pPr>
      <w:r w:rsidRPr="000B5FC7">
        <w:rPr>
          <w:rFonts w:ascii="Arial" w:hAnsi="Arial" w:cs="Arial"/>
          <w:sz w:val="24"/>
        </w:rPr>
        <w:t xml:space="preserve">Where no statutory harbour authority or conservancy authority exists, the General Lighthouse Authority (e.g., Trinity House in England and Wales) may intervene. Under </w:t>
      </w:r>
      <w:proofErr w:type="spellStart"/>
      <w:r w:rsidRPr="000B5FC7">
        <w:rPr>
          <w:rFonts w:ascii="Arial" w:hAnsi="Arial" w:cs="Arial"/>
          <w:sz w:val="24"/>
        </w:rPr>
        <w:t>s253</w:t>
      </w:r>
      <w:proofErr w:type="spellEnd"/>
      <w:r w:rsidRPr="000B5FC7">
        <w:rPr>
          <w:rFonts w:ascii="Arial" w:hAnsi="Arial" w:cs="Arial"/>
          <w:sz w:val="24"/>
        </w:rPr>
        <w:t xml:space="preserve"> of the Merchant Shipping Act 1995, the GLA has powers to remove or destroy vessels that are, or are likely to become, an obstruction or danger to navigation or lifeboats.</w:t>
      </w:r>
    </w:p>
    <w:p w14:paraId="53DDF2B4" w14:textId="77777777" w:rsidR="000B5FC7" w:rsidRPr="000B5FC7" w:rsidRDefault="000B5FC7" w:rsidP="000B5FC7">
      <w:pPr>
        <w:ind w:left="720"/>
        <w:rPr>
          <w:rFonts w:ascii="Arial" w:hAnsi="Arial" w:cs="Arial"/>
          <w:sz w:val="24"/>
        </w:rPr>
      </w:pPr>
    </w:p>
    <w:p w14:paraId="1DBBC5B4" w14:textId="77777777" w:rsidR="000B5FC7" w:rsidRDefault="000B5FC7" w:rsidP="000B5FC7">
      <w:pPr>
        <w:numPr>
          <w:ilvl w:val="0"/>
          <w:numId w:val="1"/>
        </w:numPr>
        <w:rPr>
          <w:rFonts w:ascii="Arial" w:hAnsi="Arial" w:cs="Arial"/>
          <w:sz w:val="24"/>
        </w:rPr>
      </w:pPr>
      <w:r w:rsidRPr="000B5FC7">
        <w:rPr>
          <w:rFonts w:ascii="Arial" w:hAnsi="Arial" w:cs="Arial"/>
          <w:b/>
          <w:bCs/>
          <w:sz w:val="24"/>
        </w:rPr>
        <w:t>Receiver of Wreck (MCA):</w:t>
      </w:r>
      <w:r w:rsidRPr="000B5FC7">
        <w:rPr>
          <w:rFonts w:ascii="Arial" w:hAnsi="Arial" w:cs="Arial"/>
          <w:sz w:val="24"/>
        </w:rPr>
        <w:t> </w:t>
      </w:r>
    </w:p>
    <w:p w14:paraId="68041F44" w14:textId="29AED369" w:rsidR="000B5FC7" w:rsidRDefault="000B5FC7" w:rsidP="000B5FC7">
      <w:pPr>
        <w:ind w:left="720"/>
        <w:rPr>
          <w:rFonts w:ascii="Arial" w:hAnsi="Arial" w:cs="Arial"/>
          <w:sz w:val="24"/>
        </w:rPr>
      </w:pPr>
      <w:r w:rsidRPr="000B5FC7">
        <w:rPr>
          <w:rFonts w:ascii="Arial" w:hAnsi="Arial" w:cs="Arial"/>
          <w:sz w:val="24"/>
        </w:rPr>
        <w:t>Under the Merchant Shipping Act 1995, the Receiver of Wreck (within the Maritime and Coastguard Agency - MCA) has powers to manage abandoned wrecks. Non-statutory authorities should report wrecks to the Receiver to initiate the legal process of identification and disposal, including disposal of unclaimed wrecks one year after they come into their possession.</w:t>
      </w:r>
    </w:p>
    <w:p w14:paraId="2461F6E4" w14:textId="77777777" w:rsidR="000B5FC7" w:rsidRPr="000B5FC7" w:rsidRDefault="000B5FC7" w:rsidP="000B5FC7">
      <w:pPr>
        <w:ind w:left="720"/>
        <w:rPr>
          <w:rFonts w:ascii="Arial" w:hAnsi="Arial" w:cs="Arial"/>
          <w:sz w:val="24"/>
        </w:rPr>
      </w:pPr>
    </w:p>
    <w:p w14:paraId="63246E40" w14:textId="77777777" w:rsidR="000B5FC7" w:rsidRDefault="000B5FC7" w:rsidP="000B5FC7">
      <w:pPr>
        <w:numPr>
          <w:ilvl w:val="0"/>
          <w:numId w:val="1"/>
        </w:numPr>
        <w:rPr>
          <w:rFonts w:ascii="Arial" w:hAnsi="Arial" w:cs="Arial"/>
          <w:sz w:val="24"/>
        </w:rPr>
      </w:pPr>
      <w:r w:rsidRPr="000B5FC7">
        <w:rPr>
          <w:rFonts w:ascii="Arial" w:hAnsi="Arial" w:cs="Arial"/>
          <w:b/>
          <w:bCs/>
          <w:sz w:val="24"/>
        </w:rPr>
        <w:t>Landowner Rights/Common Law:</w:t>
      </w:r>
      <w:r w:rsidRPr="000B5FC7">
        <w:rPr>
          <w:rFonts w:ascii="Arial" w:hAnsi="Arial" w:cs="Arial"/>
          <w:sz w:val="24"/>
        </w:rPr>
        <w:t> </w:t>
      </w:r>
    </w:p>
    <w:p w14:paraId="01306A52" w14:textId="5D49613E" w:rsidR="000B5FC7" w:rsidRDefault="000B5FC7" w:rsidP="000B5FC7">
      <w:pPr>
        <w:ind w:left="720"/>
        <w:rPr>
          <w:rFonts w:ascii="Arial" w:hAnsi="Arial" w:cs="Arial"/>
          <w:sz w:val="24"/>
        </w:rPr>
      </w:pPr>
      <w:r w:rsidRPr="000B5FC7">
        <w:rPr>
          <w:rFonts w:ascii="Arial" w:hAnsi="Arial" w:cs="Arial"/>
          <w:sz w:val="24"/>
        </w:rPr>
        <w:t>If a vessel is abandoned or wrecked on privately owned seabed or shore, the NSHA may have rights as a landowner (or as a party with the right to operate on that land) to remove the vessel, though this does not typically provide the fast-track removal and cost-recovery options that SHAs enjoy.</w:t>
      </w:r>
    </w:p>
    <w:p w14:paraId="15F8CD17" w14:textId="77777777" w:rsidR="000B5FC7" w:rsidRPr="000B5FC7" w:rsidRDefault="000B5FC7" w:rsidP="000B5FC7">
      <w:pPr>
        <w:ind w:left="720"/>
        <w:rPr>
          <w:rFonts w:ascii="Arial" w:hAnsi="Arial" w:cs="Arial"/>
          <w:sz w:val="24"/>
        </w:rPr>
      </w:pPr>
    </w:p>
    <w:p w14:paraId="3A64EA17" w14:textId="77777777" w:rsidR="000B5FC7" w:rsidRDefault="000B5FC7" w:rsidP="000B5FC7">
      <w:pPr>
        <w:numPr>
          <w:ilvl w:val="0"/>
          <w:numId w:val="1"/>
        </w:numPr>
        <w:rPr>
          <w:rFonts w:ascii="Arial" w:hAnsi="Arial" w:cs="Arial"/>
          <w:sz w:val="24"/>
        </w:rPr>
      </w:pPr>
      <w:r w:rsidRPr="000B5FC7">
        <w:rPr>
          <w:rFonts w:ascii="Arial" w:hAnsi="Arial" w:cs="Arial"/>
          <w:b/>
          <w:bCs/>
          <w:sz w:val="24"/>
        </w:rPr>
        <w:t>Contractual Terms:</w:t>
      </w:r>
      <w:r w:rsidRPr="000B5FC7">
        <w:rPr>
          <w:rFonts w:ascii="Arial" w:hAnsi="Arial" w:cs="Arial"/>
          <w:sz w:val="24"/>
        </w:rPr>
        <w:t> </w:t>
      </w:r>
    </w:p>
    <w:p w14:paraId="396B6D82" w14:textId="04E0AD4C" w:rsidR="000B5FC7" w:rsidRDefault="000B5FC7" w:rsidP="000B5FC7">
      <w:pPr>
        <w:ind w:left="720"/>
        <w:rPr>
          <w:rFonts w:ascii="Arial" w:hAnsi="Arial" w:cs="Arial"/>
          <w:sz w:val="24"/>
        </w:rPr>
      </w:pPr>
      <w:r w:rsidRPr="000B5FC7">
        <w:rPr>
          <w:rFonts w:ascii="Arial" w:hAnsi="Arial" w:cs="Arial"/>
          <w:sz w:val="24"/>
        </w:rPr>
        <w:t>Many non-statutory operators (e.g., marinas) rely on their berth contracts or terms of business, which often contain clauses permitting the removal of vessels at the owner's expense if they are abandoned or cause a nuisance.</w:t>
      </w:r>
    </w:p>
    <w:p w14:paraId="4CBE34E5" w14:textId="77777777" w:rsidR="000B5FC7" w:rsidRPr="000B5FC7" w:rsidRDefault="000B5FC7" w:rsidP="000B5FC7">
      <w:pPr>
        <w:ind w:left="720"/>
        <w:rPr>
          <w:rFonts w:ascii="Arial" w:hAnsi="Arial" w:cs="Arial"/>
          <w:sz w:val="24"/>
        </w:rPr>
      </w:pPr>
    </w:p>
    <w:p w14:paraId="6954E406" w14:textId="77777777" w:rsidR="000B5FC7" w:rsidRDefault="000B5FC7" w:rsidP="000B5FC7">
      <w:pPr>
        <w:numPr>
          <w:ilvl w:val="0"/>
          <w:numId w:val="1"/>
        </w:numPr>
        <w:rPr>
          <w:rFonts w:ascii="Arial" w:hAnsi="Arial" w:cs="Arial"/>
          <w:sz w:val="24"/>
        </w:rPr>
      </w:pPr>
      <w:r w:rsidRPr="000B5FC7">
        <w:rPr>
          <w:rFonts w:ascii="Arial" w:hAnsi="Arial" w:cs="Arial"/>
          <w:b/>
          <w:bCs/>
          <w:sz w:val="24"/>
        </w:rPr>
        <w:t>Merchant Shipping (Wreck Removal Convention) Act 2011:</w:t>
      </w:r>
      <w:r w:rsidRPr="000B5FC7">
        <w:rPr>
          <w:rFonts w:ascii="Arial" w:hAnsi="Arial" w:cs="Arial"/>
          <w:sz w:val="24"/>
        </w:rPr>
        <w:t> If a wreck is determined to be a hazard, the Registered Owner is responsible for its removal. The Secretary of State can issue a wreck removal notice, which applies to UK waters.</w:t>
      </w:r>
    </w:p>
    <w:p w14:paraId="74D1DD23" w14:textId="77777777" w:rsidR="000B5FC7" w:rsidRPr="000B5FC7" w:rsidRDefault="000B5FC7" w:rsidP="000B5FC7">
      <w:pPr>
        <w:ind w:left="720"/>
        <w:rPr>
          <w:rFonts w:ascii="Arial" w:hAnsi="Arial" w:cs="Arial"/>
          <w:sz w:val="24"/>
        </w:rPr>
      </w:pPr>
    </w:p>
    <w:p w14:paraId="2FB24E30" w14:textId="77777777" w:rsidR="000B5FC7" w:rsidRDefault="000B5FC7" w:rsidP="000B5FC7">
      <w:pPr>
        <w:rPr>
          <w:rFonts w:ascii="Arial" w:hAnsi="Arial" w:cs="Arial"/>
          <w:b/>
          <w:bCs/>
          <w:sz w:val="24"/>
        </w:rPr>
      </w:pPr>
      <w:r w:rsidRPr="000B5FC7">
        <w:rPr>
          <w:rFonts w:ascii="Arial" w:hAnsi="Arial" w:cs="Arial"/>
          <w:b/>
          <w:bCs/>
          <w:sz w:val="24"/>
        </w:rPr>
        <w:t>Key Limitations:</w:t>
      </w:r>
    </w:p>
    <w:p w14:paraId="78BCB0A3" w14:textId="5929307B" w:rsidR="000B5FC7" w:rsidRPr="000B5FC7" w:rsidRDefault="000B5FC7" w:rsidP="000B5FC7">
      <w:pPr>
        <w:rPr>
          <w:rFonts w:ascii="Arial" w:hAnsi="Arial" w:cs="Arial"/>
          <w:sz w:val="24"/>
        </w:rPr>
      </w:pPr>
      <w:r w:rsidRPr="000B5FC7">
        <w:rPr>
          <w:rFonts w:ascii="Arial" w:hAnsi="Arial" w:cs="Arial"/>
          <w:sz w:val="24"/>
        </w:rPr>
        <w:br/>
        <w:t>NSHAs cannot directly use the 7-day notice of sale or immediate statutory powers of sale under the Harbours, Docks and Piers Clauses Act 1847 to recover costs unless they have obtained these specific powers through other means. They must generally rely on legal action in court to recover removal costs from vessel owners. </w:t>
      </w:r>
    </w:p>
    <w:p w14:paraId="33435637" w14:textId="77777777" w:rsidR="000B5FC7" w:rsidRDefault="000B5FC7" w:rsidP="000B5FC7">
      <w:pPr>
        <w:rPr>
          <w:rFonts w:ascii="Arial" w:hAnsi="Arial" w:cs="Arial"/>
          <w:b/>
          <w:bCs/>
          <w:sz w:val="24"/>
        </w:rPr>
      </w:pPr>
    </w:p>
    <w:p w14:paraId="79D16415" w14:textId="666E5F1A" w:rsidR="000B5FC7" w:rsidRDefault="000B5FC7" w:rsidP="000B5FC7">
      <w:pPr>
        <w:rPr>
          <w:rFonts w:ascii="Arial" w:hAnsi="Arial" w:cs="Arial"/>
          <w:b/>
          <w:bCs/>
          <w:sz w:val="24"/>
        </w:rPr>
      </w:pPr>
      <w:r w:rsidRPr="000B5FC7">
        <w:rPr>
          <w:rFonts w:ascii="Arial" w:hAnsi="Arial" w:cs="Arial"/>
          <w:b/>
          <w:bCs/>
          <w:sz w:val="24"/>
        </w:rPr>
        <w:t>Best Practice for Non-Statutory Authorities:</w:t>
      </w:r>
    </w:p>
    <w:p w14:paraId="3434841C" w14:textId="77777777" w:rsidR="000B5FC7" w:rsidRPr="000B5FC7" w:rsidRDefault="000B5FC7" w:rsidP="000B5FC7">
      <w:pPr>
        <w:rPr>
          <w:rFonts w:ascii="Arial" w:hAnsi="Arial" w:cs="Arial"/>
          <w:sz w:val="24"/>
        </w:rPr>
      </w:pPr>
    </w:p>
    <w:p w14:paraId="32A89373" w14:textId="77777777" w:rsidR="000B5FC7" w:rsidRDefault="000B5FC7" w:rsidP="000B5FC7">
      <w:pPr>
        <w:numPr>
          <w:ilvl w:val="0"/>
          <w:numId w:val="1"/>
        </w:numPr>
        <w:rPr>
          <w:rFonts w:ascii="Arial" w:hAnsi="Arial" w:cs="Arial"/>
          <w:sz w:val="24"/>
        </w:rPr>
      </w:pPr>
      <w:r w:rsidRPr="000B5FC7">
        <w:rPr>
          <w:rFonts w:ascii="Arial" w:hAnsi="Arial" w:cs="Arial"/>
          <w:b/>
          <w:bCs/>
          <w:sz w:val="24"/>
        </w:rPr>
        <w:t>Reporting:</w:t>
      </w:r>
      <w:r w:rsidRPr="000B5FC7">
        <w:rPr>
          <w:rFonts w:ascii="Arial" w:hAnsi="Arial" w:cs="Arial"/>
          <w:sz w:val="24"/>
        </w:rPr>
        <w:t> </w:t>
      </w:r>
    </w:p>
    <w:p w14:paraId="70F97808" w14:textId="5DBCE4F6" w:rsidR="000B5FC7" w:rsidRDefault="000B5FC7" w:rsidP="000B5FC7">
      <w:pPr>
        <w:ind w:left="720"/>
        <w:rPr>
          <w:rFonts w:ascii="Arial" w:hAnsi="Arial" w:cs="Arial"/>
          <w:sz w:val="24"/>
        </w:rPr>
      </w:pPr>
      <w:r w:rsidRPr="000B5FC7">
        <w:rPr>
          <w:rFonts w:ascii="Arial" w:hAnsi="Arial" w:cs="Arial"/>
          <w:sz w:val="24"/>
        </w:rPr>
        <w:t>Promptly inform the MCA Receiver of Wreck of any hazard.</w:t>
      </w:r>
    </w:p>
    <w:p w14:paraId="52BC7A76" w14:textId="77777777" w:rsidR="000B5FC7" w:rsidRPr="000B5FC7" w:rsidRDefault="000B5FC7" w:rsidP="000B5FC7">
      <w:pPr>
        <w:ind w:left="720"/>
        <w:rPr>
          <w:rFonts w:ascii="Arial" w:hAnsi="Arial" w:cs="Arial"/>
          <w:sz w:val="24"/>
        </w:rPr>
      </w:pPr>
    </w:p>
    <w:p w14:paraId="1E2CD28F" w14:textId="77777777" w:rsidR="000B5FC7" w:rsidRDefault="000B5FC7" w:rsidP="000B5FC7">
      <w:pPr>
        <w:numPr>
          <w:ilvl w:val="0"/>
          <w:numId w:val="1"/>
        </w:numPr>
        <w:rPr>
          <w:rFonts w:ascii="Arial" w:hAnsi="Arial" w:cs="Arial"/>
          <w:sz w:val="24"/>
        </w:rPr>
      </w:pPr>
      <w:r w:rsidRPr="000B5FC7">
        <w:rPr>
          <w:rFonts w:ascii="Arial" w:hAnsi="Arial" w:cs="Arial"/>
          <w:b/>
          <w:bCs/>
          <w:sz w:val="24"/>
        </w:rPr>
        <w:t>Safety Management:</w:t>
      </w:r>
      <w:r w:rsidRPr="000B5FC7">
        <w:rPr>
          <w:rFonts w:ascii="Arial" w:hAnsi="Arial" w:cs="Arial"/>
          <w:sz w:val="24"/>
        </w:rPr>
        <w:t> </w:t>
      </w:r>
    </w:p>
    <w:p w14:paraId="2D7EB53B" w14:textId="23B2D1F1" w:rsidR="000B5FC7" w:rsidRDefault="000B5FC7" w:rsidP="000B5FC7">
      <w:pPr>
        <w:ind w:left="720"/>
        <w:rPr>
          <w:rFonts w:ascii="Arial" w:hAnsi="Arial" w:cs="Arial"/>
          <w:sz w:val="24"/>
        </w:rPr>
      </w:pPr>
      <w:r w:rsidRPr="000B5FC7">
        <w:rPr>
          <w:rFonts w:ascii="Arial" w:hAnsi="Arial" w:cs="Arial"/>
          <w:sz w:val="24"/>
        </w:rPr>
        <w:t>While not having direct statutory powers, NSHAs are still advised to follow the Port Marine Safety Code, which requires managing risks from wrecks.</w:t>
      </w:r>
    </w:p>
    <w:p w14:paraId="00D7416A" w14:textId="77777777" w:rsidR="000B5FC7" w:rsidRPr="000B5FC7" w:rsidRDefault="000B5FC7" w:rsidP="000B5FC7">
      <w:pPr>
        <w:ind w:left="720"/>
        <w:rPr>
          <w:rFonts w:ascii="Arial" w:hAnsi="Arial" w:cs="Arial"/>
          <w:sz w:val="24"/>
        </w:rPr>
      </w:pPr>
    </w:p>
    <w:p w14:paraId="47D6C685" w14:textId="77777777" w:rsidR="000B5FC7" w:rsidRDefault="000B5FC7" w:rsidP="000B5FC7">
      <w:pPr>
        <w:numPr>
          <w:ilvl w:val="0"/>
          <w:numId w:val="1"/>
        </w:numPr>
        <w:rPr>
          <w:rFonts w:ascii="Arial" w:hAnsi="Arial" w:cs="Arial"/>
          <w:sz w:val="24"/>
        </w:rPr>
      </w:pPr>
      <w:r w:rsidRPr="000B5FC7">
        <w:rPr>
          <w:rFonts w:ascii="Arial" w:hAnsi="Arial" w:cs="Arial"/>
          <w:b/>
          <w:bCs/>
          <w:sz w:val="24"/>
        </w:rPr>
        <w:t>Contractual Control:</w:t>
      </w:r>
      <w:r w:rsidRPr="000B5FC7">
        <w:rPr>
          <w:rFonts w:ascii="Arial" w:hAnsi="Arial" w:cs="Arial"/>
          <w:sz w:val="24"/>
        </w:rPr>
        <w:t> </w:t>
      </w:r>
    </w:p>
    <w:p w14:paraId="70FB68AE" w14:textId="5CF5414B" w:rsidR="000B5FC7" w:rsidRPr="000B5FC7" w:rsidRDefault="000B5FC7" w:rsidP="000B5FC7">
      <w:pPr>
        <w:ind w:left="720"/>
        <w:rPr>
          <w:rFonts w:ascii="Arial" w:hAnsi="Arial" w:cs="Arial"/>
          <w:sz w:val="24"/>
        </w:rPr>
      </w:pPr>
      <w:r w:rsidRPr="000B5FC7">
        <w:rPr>
          <w:rFonts w:ascii="Arial" w:hAnsi="Arial" w:cs="Arial"/>
          <w:sz w:val="24"/>
        </w:rPr>
        <w:t>Ensure licensing or mooring agreements contain clear wreck removal clauses.</w:t>
      </w:r>
    </w:p>
    <w:p w14:paraId="3229D8D5" w14:textId="77777777" w:rsidR="000B5FC7" w:rsidRDefault="000B5FC7">
      <w:pPr>
        <w:rPr>
          <w:rFonts w:ascii="Arial" w:hAnsi="Arial" w:cs="Arial"/>
          <w:sz w:val="24"/>
        </w:rPr>
      </w:pPr>
    </w:p>
    <w:sectPr w:rsidR="000B5FC7">
      <w:headerReference w:type="default" r:id="rId7"/>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BAB88" w14:textId="77777777" w:rsidR="000B5FC7" w:rsidRDefault="000B5FC7" w:rsidP="000B5FC7">
      <w:r>
        <w:separator/>
      </w:r>
    </w:p>
  </w:endnote>
  <w:endnote w:type="continuationSeparator" w:id="0">
    <w:p w14:paraId="2C680E51" w14:textId="77777777" w:rsidR="000B5FC7" w:rsidRDefault="000B5FC7" w:rsidP="000B5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8FA21" w14:textId="77777777" w:rsidR="000B5FC7" w:rsidRDefault="000B5FC7" w:rsidP="000B5FC7">
      <w:r>
        <w:separator/>
      </w:r>
    </w:p>
  </w:footnote>
  <w:footnote w:type="continuationSeparator" w:id="0">
    <w:p w14:paraId="51887C05" w14:textId="77777777" w:rsidR="000B5FC7" w:rsidRDefault="000B5FC7" w:rsidP="000B5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A33E" w14:textId="4BA5D391" w:rsidR="000B5FC7" w:rsidRDefault="000B5FC7">
    <w:pPr>
      <w:pStyle w:val="Header"/>
    </w:pPr>
    <w:r>
      <w:tab/>
    </w:r>
    <w:r>
      <w:tab/>
    </w:r>
    <w:r>
      <w:tab/>
    </w:r>
    <w:r w:rsidRPr="000B5FC7">
      <w:rPr>
        <w:rFonts w:ascii="Arial" w:hAnsi="Arial" w:cs="Arial"/>
        <w:b/>
        <w:bCs/>
        <w:sz w:val="28"/>
        <w:szCs w:val="28"/>
      </w:rPr>
      <w:t>APPENDIX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46F2B"/>
    <w:multiLevelType w:val="multilevel"/>
    <w:tmpl w:val="283A8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76593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D69"/>
    <w:rsid w:val="000B5FC7"/>
    <w:rsid w:val="004E5BD1"/>
    <w:rsid w:val="009D1AB5"/>
    <w:rsid w:val="00B63D23"/>
    <w:rsid w:val="00D54312"/>
    <w:rsid w:val="00EE1087"/>
    <w:rsid w:val="00F35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5591759"/>
  <w15:chartTrackingRefBased/>
  <w15:docId w15:val="{6DBDD910-4A73-4E18-A89C-4B1B6A509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rsid w:val="00F35D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5D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5D6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5D6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35D6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35D6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35D6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35D6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35D6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D69"/>
    <w:rPr>
      <w:rFonts w:asciiTheme="majorHAnsi" w:eastAsiaTheme="majorEastAsia" w:hAnsiTheme="majorHAnsi" w:cstheme="majorBidi"/>
      <w:color w:val="0F4761" w:themeColor="accent1" w:themeShade="BF"/>
      <w:sz w:val="40"/>
      <w:szCs w:val="40"/>
      <w:lang w:eastAsia="en-US"/>
    </w:rPr>
  </w:style>
  <w:style w:type="character" w:customStyle="1" w:styleId="Heading2Char">
    <w:name w:val="Heading 2 Char"/>
    <w:basedOn w:val="DefaultParagraphFont"/>
    <w:link w:val="Heading2"/>
    <w:uiPriority w:val="9"/>
    <w:semiHidden/>
    <w:rsid w:val="00F35D69"/>
    <w:rPr>
      <w:rFonts w:asciiTheme="majorHAnsi" w:eastAsiaTheme="majorEastAsia" w:hAnsiTheme="majorHAnsi" w:cstheme="majorBidi"/>
      <w:color w:val="0F4761" w:themeColor="accent1" w:themeShade="BF"/>
      <w:sz w:val="32"/>
      <w:szCs w:val="32"/>
      <w:lang w:eastAsia="en-US"/>
    </w:rPr>
  </w:style>
  <w:style w:type="character" w:customStyle="1" w:styleId="Heading3Char">
    <w:name w:val="Heading 3 Char"/>
    <w:basedOn w:val="DefaultParagraphFont"/>
    <w:link w:val="Heading3"/>
    <w:uiPriority w:val="9"/>
    <w:semiHidden/>
    <w:rsid w:val="00F35D69"/>
    <w:rPr>
      <w:rFonts w:asciiTheme="minorHAnsi" w:eastAsiaTheme="majorEastAsia" w:hAnsiTheme="minorHAnsi" w:cstheme="majorBidi"/>
      <w:color w:val="0F4761" w:themeColor="accent1" w:themeShade="BF"/>
      <w:sz w:val="28"/>
      <w:szCs w:val="28"/>
      <w:lang w:eastAsia="en-US"/>
    </w:rPr>
  </w:style>
  <w:style w:type="character" w:customStyle="1" w:styleId="Heading4Char">
    <w:name w:val="Heading 4 Char"/>
    <w:basedOn w:val="DefaultParagraphFont"/>
    <w:link w:val="Heading4"/>
    <w:uiPriority w:val="9"/>
    <w:semiHidden/>
    <w:rsid w:val="00F35D69"/>
    <w:rPr>
      <w:rFonts w:asciiTheme="minorHAnsi" w:eastAsiaTheme="majorEastAsia" w:hAnsiTheme="minorHAnsi" w:cstheme="majorBidi"/>
      <w:i/>
      <w:iCs/>
      <w:color w:val="0F4761" w:themeColor="accent1" w:themeShade="BF"/>
      <w:lang w:eastAsia="en-US"/>
    </w:rPr>
  </w:style>
  <w:style w:type="character" w:customStyle="1" w:styleId="Heading5Char">
    <w:name w:val="Heading 5 Char"/>
    <w:basedOn w:val="DefaultParagraphFont"/>
    <w:link w:val="Heading5"/>
    <w:uiPriority w:val="9"/>
    <w:semiHidden/>
    <w:rsid w:val="00F35D69"/>
    <w:rPr>
      <w:rFonts w:asciiTheme="minorHAnsi" w:eastAsiaTheme="majorEastAsia" w:hAnsiTheme="minorHAnsi" w:cstheme="majorBidi"/>
      <w:color w:val="0F4761" w:themeColor="accent1" w:themeShade="BF"/>
      <w:lang w:eastAsia="en-US"/>
    </w:rPr>
  </w:style>
  <w:style w:type="character" w:customStyle="1" w:styleId="Heading6Char">
    <w:name w:val="Heading 6 Char"/>
    <w:basedOn w:val="DefaultParagraphFont"/>
    <w:link w:val="Heading6"/>
    <w:uiPriority w:val="9"/>
    <w:semiHidden/>
    <w:rsid w:val="00F35D69"/>
    <w:rPr>
      <w:rFonts w:asciiTheme="minorHAnsi" w:eastAsiaTheme="majorEastAsia" w:hAnsiTheme="minorHAnsi" w:cstheme="majorBidi"/>
      <w:i/>
      <w:iCs/>
      <w:color w:val="595959" w:themeColor="text1" w:themeTint="A6"/>
      <w:lang w:eastAsia="en-US"/>
    </w:rPr>
  </w:style>
  <w:style w:type="character" w:customStyle="1" w:styleId="Heading7Char">
    <w:name w:val="Heading 7 Char"/>
    <w:basedOn w:val="DefaultParagraphFont"/>
    <w:link w:val="Heading7"/>
    <w:uiPriority w:val="9"/>
    <w:semiHidden/>
    <w:rsid w:val="00F35D69"/>
    <w:rPr>
      <w:rFonts w:asciiTheme="minorHAnsi" w:eastAsiaTheme="majorEastAsia" w:hAnsiTheme="minorHAnsi" w:cstheme="majorBidi"/>
      <w:color w:val="595959" w:themeColor="text1" w:themeTint="A6"/>
      <w:lang w:eastAsia="en-US"/>
    </w:rPr>
  </w:style>
  <w:style w:type="character" w:customStyle="1" w:styleId="Heading8Char">
    <w:name w:val="Heading 8 Char"/>
    <w:basedOn w:val="DefaultParagraphFont"/>
    <w:link w:val="Heading8"/>
    <w:uiPriority w:val="9"/>
    <w:semiHidden/>
    <w:rsid w:val="00F35D69"/>
    <w:rPr>
      <w:rFonts w:asciiTheme="minorHAnsi" w:eastAsiaTheme="majorEastAsia" w:hAnsiTheme="minorHAnsi" w:cstheme="majorBidi"/>
      <w:i/>
      <w:iCs/>
      <w:color w:val="272727" w:themeColor="text1" w:themeTint="D8"/>
      <w:lang w:eastAsia="en-US"/>
    </w:rPr>
  </w:style>
  <w:style w:type="character" w:customStyle="1" w:styleId="Heading9Char">
    <w:name w:val="Heading 9 Char"/>
    <w:basedOn w:val="DefaultParagraphFont"/>
    <w:link w:val="Heading9"/>
    <w:uiPriority w:val="9"/>
    <w:semiHidden/>
    <w:rsid w:val="00F35D69"/>
    <w:rPr>
      <w:rFonts w:asciiTheme="minorHAnsi" w:eastAsiaTheme="majorEastAsia" w:hAnsiTheme="minorHAnsi" w:cstheme="majorBidi"/>
      <w:color w:val="272727" w:themeColor="text1" w:themeTint="D8"/>
      <w:lang w:eastAsia="en-US"/>
    </w:rPr>
  </w:style>
  <w:style w:type="paragraph" w:styleId="Title">
    <w:name w:val="Title"/>
    <w:basedOn w:val="Normal"/>
    <w:next w:val="Normal"/>
    <w:link w:val="TitleChar"/>
    <w:uiPriority w:val="10"/>
    <w:qFormat/>
    <w:rsid w:val="00F35D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5D69"/>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F35D6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5D69"/>
    <w:rPr>
      <w:rFonts w:asciiTheme="minorHAnsi" w:eastAsiaTheme="majorEastAsia" w:hAnsiTheme="minorHAnsi"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F35D6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35D69"/>
    <w:rPr>
      <w:i/>
      <w:iCs/>
      <w:color w:val="404040" w:themeColor="text1" w:themeTint="BF"/>
      <w:lang w:eastAsia="en-US"/>
    </w:rPr>
  </w:style>
  <w:style w:type="paragraph" w:styleId="ListParagraph">
    <w:name w:val="List Paragraph"/>
    <w:basedOn w:val="Normal"/>
    <w:uiPriority w:val="34"/>
    <w:qFormat/>
    <w:rsid w:val="00F35D69"/>
    <w:pPr>
      <w:ind w:left="720"/>
      <w:contextualSpacing/>
    </w:pPr>
  </w:style>
  <w:style w:type="character" w:styleId="IntenseEmphasis">
    <w:name w:val="Intense Emphasis"/>
    <w:basedOn w:val="DefaultParagraphFont"/>
    <w:uiPriority w:val="21"/>
    <w:qFormat/>
    <w:rsid w:val="00F35D69"/>
    <w:rPr>
      <w:i/>
      <w:iCs/>
      <w:color w:val="0F4761" w:themeColor="accent1" w:themeShade="BF"/>
    </w:rPr>
  </w:style>
  <w:style w:type="paragraph" w:styleId="IntenseQuote">
    <w:name w:val="Intense Quote"/>
    <w:basedOn w:val="Normal"/>
    <w:next w:val="Normal"/>
    <w:link w:val="IntenseQuoteChar"/>
    <w:uiPriority w:val="30"/>
    <w:qFormat/>
    <w:rsid w:val="00F35D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5D69"/>
    <w:rPr>
      <w:i/>
      <w:iCs/>
      <w:color w:val="0F4761" w:themeColor="accent1" w:themeShade="BF"/>
      <w:lang w:eastAsia="en-US"/>
    </w:rPr>
  </w:style>
  <w:style w:type="character" w:styleId="IntenseReference">
    <w:name w:val="Intense Reference"/>
    <w:basedOn w:val="DefaultParagraphFont"/>
    <w:uiPriority w:val="32"/>
    <w:qFormat/>
    <w:rsid w:val="00F35D69"/>
    <w:rPr>
      <w:b/>
      <w:bCs/>
      <w:smallCaps/>
      <w:color w:val="0F4761" w:themeColor="accent1" w:themeShade="BF"/>
      <w:spacing w:val="5"/>
    </w:rPr>
  </w:style>
  <w:style w:type="paragraph" w:styleId="Header">
    <w:name w:val="header"/>
    <w:basedOn w:val="Normal"/>
    <w:link w:val="HeaderChar"/>
    <w:uiPriority w:val="99"/>
    <w:unhideWhenUsed/>
    <w:rsid w:val="000B5FC7"/>
    <w:pPr>
      <w:tabs>
        <w:tab w:val="center" w:pos="4513"/>
        <w:tab w:val="right" w:pos="9026"/>
      </w:tabs>
    </w:pPr>
  </w:style>
  <w:style w:type="character" w:customStyle="1" w:styleId="HeaderChar">
    <w:name w:val="Header Char"/>
    <w:basedOn w:val="DefaultParagraphFont"/>
    <w:link w:val="Header"/>
    <w:uiPriority w:val="99"/>
    <w:rsid w:val="000B5FC7"/>
    <w:rPr>
      <w:lang w:eastAsia="en-US"/>
    </w:rPr>
  </w:style>
  <w:style w:type="paragraph" w:styleId="Footer">
    <w:name w:val="footer"/>
    <w:basedOn w:val="Normal"/>
    <w:link w:val="FooterChar"/>
    <w:uiPriority w:val="99"/>
    <w:unhideWhenUsed/>
    <w:rsid w:val="000B5FC7"/>
    <w:pPr>
      <w:tabs>
        <w:tab w:val="center" w:pos="4513"/>
        <w:tab w:val="right" w:pos="9026"/>
      </w:tabs>
    </w:pPr>
  </w:style>
  <w:style w:type="character" w:customStyle="1" w:styleId="FooterChar">
    <w:name w:val="Footer Char"/>
    <w:basedOn w:val="DefaultParagraphFont"/>
    <w:link w:val="Footer"/>
    <w:uiPriority w:val="99"/>
    <w:rsid w:val="000B5FC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395</Words>
  <Characters>2157</Characters>
  <Application>Microsoft Office Word</Application>
  <DocSecurity>0</DocSecurity>
  <Lines>62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Harris</dc:creator>
  <cp:keywords/>
  <dc:description/>
  <cp:lastModifiedBy>Georgina Carlo-Paat</cp:lastModifiedBy>
  <cp:revision>3</cp:revision>
  <dcterms:created xsi:type="dcterms:W3CDTF">2026-04-15T15:54:00Z</dcterms:created>
  <dcterms:modified xsi:type="dcterms:W3CDTF">2026-04-17T13:58:00Z</dcterms:modified>
</cp:coreProperties>
</file>